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DB3D7" w14:textId="77777777" w:rsidR="00C8289C" w:rsidRPr="00C30C7D" w:rsidRDefault="00C8289C" w:rsidP="00C30C7D">
      <w:pPr>
        <w:pStyle w:val="NSSEHeading1"/>
        <w:rPr>
          <w:color w:val="002F5F"/>
          <w14:ligatures w14:val="none"/>
          <w14:cntxtAlts w14:val="0"/>
        </w:rPr>
      </w:pPr>
      <w:r w:rsidRPr="00C30C7D">
        <w:rPr>
          <w:noProof/>
        </w:rPr>
        <w:drawing>
          <wp:inline distT="0" distB="0" distL="0" distR="0" wp14:anchorId="734FBEDC" wp14:editId="5559FE59">
            <wp:extent cx="2169160" cy="887730"/>
            <wp:effectExtent l="0" t="0" r="2540" b="7620"/>
            <wp:docPr id="1" name="Picture 1" descr="NSS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SE Logo&#10;"/>
                    <pic:cNvPicPr>
                      <a:picLocks noChangeAspect="1" noChangeArrowheads="1"/>
                    </pic:cNvPicPr>
                  </pic:nvPicPr>
                  <pic:blipFill>
                    <a:blip r:embed="rId4">
                      <a:extLst>
                        <a:ext uri="{28A0092B-C50C-407E-A947-70E740481C1C}">
                          <a14:useLocalDpi xmlns:a14="http://schemas.microsoft.com/office/drawing/2010/main"/>
                        </a:ext>
                      </a:extLst>
                    </a:blip>
                    <a:srcRect/>
                    <a:stretch>
                      <a:fillRect/>
                    </a:stretch>
                  </pic:blipFill>
                  <pic:spPr bwMode="auto">
                    <a:xfrm>
                      <a:off x="0" y="0"/>
                      <a:ext cx="2169160" cy="887730"/>
                    </a:xfrm>
                    <a:prstGeom prst="rect">
                      <a:avLst/>
                    </a:prstGeom>
                    <a:noFill/>
                    <a:ln>
                      <a:noFill/>
                    </a:ln>
                  </pic:spPr>
                </pic:pic>
              </a:graphicData>
            </a:graphic>
          </wp:inline>
        </w:drawing>
      </w:r>
      <w:r w:rsidRPr="00C30C7D">
        <w:rPr>
          <w:color w:val="002F5F"/>
        </w:rPr>
        <w:tab/>
      </w:r>
      <w:r w:rsidRPr="00C30C7D">
        <w:t>NSSE Data User’s Guide: Worksheet #1</w:t>
      </w:r>
    </w:p>
    <w:p w14:paraId="37C92396" w14:textId="77777777" w:rsidR="00C8289C" w:rsidRPr="009F4DF8" w:rsidRDefault="00C8289C" w:rsidP="00C30C7D">
      <w:pPr>
        <w:pStyle w:val="NSSEHeading2"/>
        <w:rPr>
          <w:kern w:val="0"/>
          <w:sz w:val="24"/>
          <w:szCs w:val="24"/>
        </w:rPr>
      </w:pPr>
      <w:r w:rsidRPr="009F4DF8">
        <w:t>Guiding Questions</w:t>
      </w:r>
    </w:p>
    <w:p w14:paraId="3A66FB39" w14:textId="77777777" w:rsidR="00C8289C" w:rsidRDefault="00C8289C" w:rsidP="00C8289C">
      <w:pPr>
        <w:spacing w:after="180"/>
        <w:rPr>
          <w:rFonts w:ascii="Times New Roman" w:hAnsi="Times New Roman" w:cs="Times New Roman"/>
          <w:sz w:val="22"/>
          <w:szCs w:val="22"/>
        </w:rPr>
      </w:pPr>
      <w:r>
        <w:rPr>
          <w:rFonts w:ascii="Times New Roman" w:hAnsi="Times New Roman" w:cs="Times New Roman"/>
          <w:sz w:val="22"/>
          <w:szCs w:val="22"/>
        </w:rPr>
        <w:t xml:space="preserve">By now, you have read through your institutional reports and are ready to start using your data. Knowing where to begin can be overwhelming, especially with the array of reports and data at your disposal. Before you dive into your results, take a moment to identify your main intentions for pursuing student engagement information and the most appropriate audiences for this information at your institution. The following questions are a reflection activity to help frame contexts to consider, understand what results mean, and disseminate the findings. </w:t>
      </w:r>
    </w:p>
    <w:p w14:paraId="1BC0895C" w14:textId="77777777" w:rsidR="00C8289C" w:rsidRDefault="00C8289C" w:rsidP="00C8289C">
      <w:pPr>
        <w:spacing w:after="1120" w:line="280" w:lineRule="exact"/>
        <w:ind w:left="216" w:hanging="216"/>
        <w:rPr>
          <w:rFonts w:ascii="Times New Roman" w:hAnsi="Times New Roman" w:cs="Times New Roman"/>
          <w:color w:val="auto"/>
          <w:sz w:val="22"/>
          <w:szCs w:val="22"/>
        </w:rPr>
      </w:pPr>
      <w:r>
        <w:rPr>
          <w:rFonts w:ascii="Times New Roman" w:hAnsi="Times New Roman" w:cs="Times New Roman"/>
          <w:sz w:val="22"/>
          <w:szCs w:val="22"/>
        </w:rPr>
        <w:t xml:space="preserve">1. </w:t>
      </w:r>
      <w:r>
        <w:rPr>
          <w:rFonts w:ascii="Times New Roman" w:hAnsi="Times New Roman" w:cs="Times New Roman"/>
          <w:color w:val="auto"/>
          <w:sz w:val="22"/>
          <w:szCs w:val="22"/>
        </w:rPr>
        <w:t>Reflect on your reasons for administering the NSSE survey. What strengths, concerns, or points of interest do you want to know about your students’ educational experiences?</w:t>
      </w:r>
    </w:p>
    <w:p w14:paraId="4462451F" w14:textId="77777777" w:rsidR="00C8289C" w:rsidRDefault="00C8289C" w:rsidP="00C8289C">
      <w:pPr>
        <w:spacing w:after="1120" w:line="280" w:lineRule="exact"/>
        <w:ind w:left="216" w:hanging="216"/>
        <w:rPr>
          <w:rFonts w:ascii="Times New Roman" w:hAnsi="Times New Roman" w:cs="Times New Roman"/>
          <w:color w:val="auto"/>
          <w:sz w:val="22"/>
          <w:szCs w:val="22"/>
        </w:rPr>
      </w:pPr>
      <w:r>
        <w:rPr>
          <w:rFonts w:ascii="Times New Roman" w:hAnsi="Times New Roman" w:cs="Times New Roman"/>
          <w:color w:val="auto"/>
          <w:sz w:val="22"/>
          <w:szCs w:val="22"/>
        </w:rPr>
        <w:t xml:space="preserve">2. Review your institutional </w:t>
      </w:r>
      <w:r>
        <w:rPr>
          <w:rFonts w:ascii="Times New Roman" w:hAnsi="Times New Roman" w:cs="Times New Roman"/>
          <w:i/>
          <w:iCs/>
          <w:color w:val="auto"/>
          <w:sz w:val="22"/>
          <w:szCs w:val="22"/>
        </w:rPr>
        <w:t>NSSE Snapshot</w:t>
      </w:r>
      <w:r>
        <w:rPr>
          <w:rFonts w:ascii="Times New Roman" w:hAnsi="Times New Roman" w:cs="Times New Roman"/>
          <w:color w:val="auto"/>
          <w:sz w:val="22"/>
          <w:szCs w:val="22"/>
        </w:rPr>
        <w:t>. Are there any Engagement Indicator scores, or item level results that you want to know more about?  Do these matters require attention before results are shared with other audiences?</w:t>
      </w:r>
    </w:p>
    <w:p w14:paraId="090280AB" w14:textId="77777777" w:rsidR="00C8289C" w:rsidRDefault="00C8289C" w:rsidP="00C8289C">
      <w:pPr>
        <w:spacing w:after="1120" w:line="280" w:lineRule="exact"/>
        <w:ind w:left="216" w:hanging="216"/>
        <w:rPr>
          <w:rFonts w:ascii="Times New Roman" w:hAnsi="Times New Roman" w:cs="Times New Roman"/>
          <w:color w:val="auto"/>
          <w:sz w:val="22"/>
          <w:szCs w:val="22"/>
        </w:rPr>
      </w:pPr>
      <w:r>
        <w:rPr>
          <w:rFonts w:ascii="Times New Roman" w:hAnsi="Times New Roman" w:cs="Times New Roman"/>
          <w:color w:val="auto"/>
          <w:sz w:val="22"/>
          <w:szCs w:val="22"/>
        </w:rPr>
        <w:t>3. What is occupying attention at your institution? Is first-year student retention a concern? Is strategic planning on the campus agenda? Are you preparing for reaffirmation of accreditation? Is there a program that you want to improve or develop for a certain student population? What are your institution’s priorities? Jot down these ideas to keep in mind as you move forward with presenting and using your NSSE data.</w:t>
      </w:r>
    </w:p>
    <w:p w14:paraId="400EE1C2" w14:textId="77777777" w:rsidR="00C8289C" w:rsidRDefault="00C8289C" w:rsidP="00C8289C">
      <w:pPr>
        <w:spacing w:line="280" w:lineRule="exact"/>
        <w:ind w:left="216" w:hanging="216"/>
        <w:rPr>
          <w:rFonts w:ascii="Times New Roman" w:hAnsi="Times New Roman" w:cs="Times New Roman"/>
          <w:color w:val="auto"/>
          <w:sz w:val="22"/>
          <w:szCs w:val="22"/>
        </w:rPr>
      </w:pPr>
      <w:r>
        <w:rPr>
          <w:rFonts w:ascii="Times New Roman" w:hAnsi="Times New Roman" w:cs="Times New Roman"/>
          <w:color w:val="auto"/>
          <w:sz w:val="22"/>
          <w:szCs w:val="22"/>
        </w:rPr>
        <w:t>4. What audiences would be interested in or could benefit from a greater understanding of your NSSE data? Identify key groups from and add to this list of offices and people to consider:</w:t>
      </w:r>
    </w:p>
    <w:p w14:paraId="15F7ADD0" w14:textId="77777777" w:rsidR="00C8289C" w:rsidRDefault="00C8289C" w:rsidP="00C8289C">
      <w:pPr>
        <w:spacing w:after="40" w:line="280" w:lineRule="exact"/>
        <w:ind w:left="258"/>
        <w:rPr>
          <w:rFonts w:ascii="Times New Roman" w:hAnsi="Times New Roman" w:cs="Times New Roman"/>
          <w:color w:val="auto"/>
          <w:sz w:val="22"/>
          <w:szCs w:val="22"/>
        </w:rPr>
      </w:pPr>
      <w:r>
        <w:rPr>
          <w:rFonts w:ascii="Wingdings" w:hAnsi="Wingdings" w:cs="Wingdings"/>
          <w:noProof/>
          <w:color w:val="auto"/>
          <w:sz w:val="22"/>
          <w:szCs w:val="22"/>
        </w:rPr>
        <w:t></w:t>
      </w:r>
      <w:r>
        <w:rPr>
          <w:rFonts w:ascii="Times New Roman" w:hAnsi="Times New Roman" w:cs="Times New Roman"/>
          <w:color w:val="auto"/>
          <w:sz w:val="22"/>
          <w:szCs w:val="22"/>
        </w:rPr>
        <w:t xml:space="preserve"> Prospective students and parents</w:t>
      </w:r>
    </w:p>
    <w:p w14:paraId="59D3D256" w14:textId="77777777" w:rsidR="00C8289C" w:rsidRDefault="00C8289C" w:rsidP="00C8289C">
      <w:pPr>
        <w:spacing w:after="40" w:line="280" w:lineRule="exact"/>
        <w:ind w:left="258"/>
        <w:rPr>
          <w:rFonts w:ascii="Times New Roman" w:hAnsi="Times New Roman" w:cs="Times New Roman"/>
          <w:color w:val="auto"/>
          <w:sz w:val="22"/>
          <w:szCs w:val="22"/>
        </w:rPr>
      </w:pPr>
      <w:r>
        <w:rPr>
          <w:rFonts w:ascii="Wingdings" w:hAnsi="Wingdings" w:cs="Wingdings"/>
          <w:noProof/>
          <w:color w:val="auto"/>
          <w:sz w:val="22"/>
          <w:szCs w:val="22"/>
        </w:rPr>
        <w:t></w:t>
      </w:r>
      <w:r>
        <w:rPr>
          <w:rFonts w:ascii="Times New Roman" w:hAnsi="Times New Roman" w:cs="Times New Roman"/>
          <w:color w:val="auto"/>
          <w:sz w:val="22"/>
          <w:szCs w:val="22"/>
        </w:rPr>
        <w:t xml:space="preserve"> Accreditation organizations</w:t>
      </w:r>
    </w:p>
    <w:p w14:paraId="2E391BEA" w14:textId="77777777" w:rsidR="00C8289C" w:rsidRDefault="00C8289C" w:rsidP="00C8289C">
      <w:pPr>
        <w:spacing w:after="40" w:line="280" w:lineRule="exact"/>
        <w:ind w:left="258"/>
        <w:rPr>
          <w:rFonts w:ascii="Times New Roman" w:hAnsi="Times New Roman" w:cs="Times New Roman"/>
          <w:color w:val="auto"/>
          <w:sz w:val="22"/>
          <w:szCs w:val="22"/>
        </w:rPr>
      </w:pPr>
      <w:r>
        <w:rPr>
          <w:rFonts w:ascii="Wingdings" w:hAnsi="Wingdings" w:cs="Wingdings"/>
          <w:noProof/>
          <w:color w:val="auto"/>
          <w:sz w:val="22"/>
          <w:szCs w:val="22"/>
        </w:rPr>
        <w:t></w:t>
      </w:r>
      <w:r>
        <w:rPr>
          <w:rFonts w:ascii="Times New Roman" w:hAnsi="Times New Roman" w:cs="Times New Roman"/>
          <w:color w:val="auto"/>
          <w:sz w:val="22"/>
          <w:szCs w:val="22"/>
        </w:rPr>
        <w:t xml:space="preserve"> General education assessment committees</w:t>
      </w:r>
    </w:p>
    <w:p w14:paraId="5FF09E59" w14:textId="77777777" w:rsidR="00C8289C" w:rsidRDefault="00C8289C" w:rsidP="00C8289C">
      <w:pPr>
        <w:spacing w:after="40" w:line="280" w:lineRule="exact"/>
        <w:ind w:left="258"/>
        <w:rPr>
          <w:rFonts w:ascii="Times New Roman" w:hAnsi="Times New Roman" w:cs="Times New Roman"/>
          <w:color w:val="auto"/>
          <w:sz w:val="22"/>
          <w:szCs w:val="22"/>
        </w:rPr>
      </w:pPr>
      <w:r>
        <w:rPr>
          <w:rFonts w:ascii="Wingdings" w:hAnsi="Wingdings" w:cs="Wingdings"/>
          <w:noProof/>
          <w:color w:val="auto"/>
          <w:sz w:val="22"/>
          <w:szCs w:val="22"/>
        </w:rPr>
        <w:t></w:t>
      </w:r>
      <w:r>
        <w:rPr>
          <w:rFonts w:ascii="Times New Roman" w:hAnsi="Times New Roman" w:cs="Times New Roman"/>
          <w:color w:val="auto"/>
          <w:sz w:val="22"/>
          <w:szCs w:val="22"/>
        </w:rPr>
        <w:t xml:space="preserve"> Alumni</w:t>
      </w:r>
    </w:p>
    <w:p w14:paraId="2CF79AF8" w14:textId="77777777" w:rsidR="00C8289C" w:rsidRDefault="00C8289C" w:rsidP="00C8289C">
      <w:pPr>
        <w:spacing w:after="40" w:line="280" w:lineRule="exact"/>
        <w:ind w:left="258"/>
        <w:rPr>
          <w:rFonts w:ascii="Times New Roman" w:hAnsi="Times New Roman" w:cs="Times New Roman"/>
          <w:color w:val="auto"/>
          <w:sz w:val="22"/>
          <w:szCs w:val="22"/>
        </w:rPr>
      </w:pPr>
      <w:r>
        <w:rPr>
          <w:rFonts w:ascii="Wingdings" w:hAnsi="Wingdings" w:cs="Wingdings"/>
          <w:noProof/>
          <w:color w:val="auto"/>
          <w:sz w:val="22"/>
          <w:szCs w:val="22"/>
        </w:rPr>
        <w:t></w:t>
      </w:r>
      <w:r>
        <w:rPr>
          <w:rFonts w:ascii="Times New Roman" w:hAnsi="Times New Roman" w:cs="Times New Roman"/>
          <w:color w:val="auto"/>
          <w:sz w:val="22"/>
          <w:szCs w:val="22"/>
        </w:rPr>
        <w:t xml:space="preserve"> State agencies and commissions</w:t>
      </w:r>
    </w:p>
    <w:p w14:paraId="3200DF61" w14:textId="77777777" w:rsidR="00C8289C" w:rsidRDefault="00C8289C" w:rsidP="00C8289C">
      <w:pPr>
        <w:spacing w:after="40" w:line="280" w:lineRule="exact"/>
        <w:ind w:left="258"/>
        <w:rPr>
          <w:rFonts w:ascii="Times New Roman" w:hAnsi="Times New Roman" w:cs="Times New Roman"/>
          <w:color w:val="auto"/>
          <w:sz w:val="22"/>
          <w:szCs w:val="22"/>
        </w:rPr>
      </w:pPr>
      <w:r>
        <w:rPr>
          <w:rFonts w:ascii="Wingdings" w:hAnsi="Wingdings" w:cs="Wingdings"/>
          <w:noProof/>
          <w:color w:val="auto"/>
          <w:sz w:val="22"/>
          <w:szCs w:val="22"/>
        </w:rPr>
        <w:t></w:t>
      </w:r>
      <w:r>
        <w:rPr>
          <w:rFonts w:ascii="Times New Roman" w:hAnsi="Times New Roman" w:cs="Times New Roman"/>
          <w:color w:val="auto"/>
          <w:sz w:val="22"/>
          <w:szCs w:val="22"/>
        </w:rPr>
        <w:t xml:space="preserve"> Faculty senates and committees</w:t>
      </w:r>
    </w:p>
    <w:p w14:paraId="66866A6C" w14:textId="77777777" w:rsidR="00C8289C" w:rsidRDefault="00C8289C" w:rsidP="00C8289C">
      <w:pPr>
        <w:spacing w:after="40" w:line="280" w:lineRule="exact"/>
        <w:ind w:left="258"/>
        <w:rPr>
          <w:rFonts w:ascii="Times New Roman" w:hAnsi="Times New Roman" w:cs="Times New Roman"/>
          <w:color w:val="auto"/>
          <w:sz w:val="22"/>
          <w:szCs w:val="22"/>
        </w:rPr>
      </w:pPr>
      <w:r>
        <w:rPr>
          <w:rFonts w:ascii="Wingdings" w:hAnsi="Wingdings" w:cs="Wingdings"/>
          <w:noProof/>
          <w:color w:val="auto"/>
          <w:sz w:val="22"/>
          <w:szCs w:val="22"/>
        </w:rPr>
        <w:t></w:t>
      </w:r>
      <w:r>
        <w:rPr>
          <w:rFonts w:ascii="Times New Roman" w:hAnsi="Times New Roman" w:cs="Times New Roman"/>
          <w:color w:val="auto"/>
          <w:sz w:val="22"/>
          <w:szCs w:val="22"/>
        </w:rPr>
        <w:t xml:space="preserve"> Boards of trustees</w:t>
      </w:r>
    </w:p>
    <w:p w14:paraId="4DAD9770" w14:textId="77777777" w:rsidR="00C8289C" w:rsidRDefault="00C8289C" w:rsidP="00C8289C">
      <w:pPr>
        <w:spacing w:after="40" w:line="280" w:lineRule="exact"/>
        <w:ind w:left="258"/>
        <w:rPr>
          <w:rFonts w:ascii="Times New Roman" w:hAnsi="Times New Roman" w:cs="Times New Roman"/>
          <w:color w:val="auto"/>
          <w:sz w:val="22"/>
          <w:szCs w:val="22"/>
        </w:rPr>
      </w:pPr>
      <w:r>
        <w:rPr>
          <w:rFonts w:ascii="Wingdings" w:hAnsi="Wingdings" w:cs="Wingdings"/>
          <w:noProof/>
          <w:color w:val="auto"/>
          <w:sz w:val="22"/>
          <w:szCs w:val="22"/>
        </w:rPr>
        <w:t></w:t>
      </w:r>
      <w:r>
        <w:rPr>
          <w:rFonts w:ascii="Times New Roman" w:hAnsi="Times New Roman" w:cs="Times New Roman"/>
          <w:color w:val="auto"/>
          <w:sz w:val="22"/>
          <w:szCs w:val="22"/>
        </w:rPr>
        <w:t xml:space="preserve"> Student affairs offices and units</w:t>
      </w:r>
    </w:p>
    <w:p w14:paraId="1797743D" w14:textId="77777777" w:rsidR="00C8289C" w:rsidRDefault="00C8289C" w:rsidP="00C8289C">
      <w:pPr>
        <w:spacing w:after="40" w:line="280" w:lineRule="exact"/>
        <w:ind w:left="258"/>
        <w:rPr>
          <w:rFonts w:ascii="Times New Roman" w:hAnsi="Times New Roman" w:cs="Times New Roman"/>
          <w:color w:val="auto"/>
          <w:sz w:val="22"/>
          <w:szCs w:val="22"/>
        </w:rPr>
      </w:pPr>
      <w:r>
        <w:rPr>
          <w:rFonts w:ascii="Wingdings" w:hAnsi="Wingdings" w:cs="Wingdings"/>
          <w:noProof/>
          <w:color w:val="auto"/>
          <w:sz w:val="22"/>
          <w:szCs w:val="22"/>
        </w:rPr>
        <w:t></w:t>
      </w:r>
      <w:r>
        <w:rPr>
          <w:rFonts w:ascii="Times New Roman" w:hAnsi="Times New Roman" w:cs="Times New Roman"/>
          <w:color w:val="auto"/>
          <w:sz w:val="22"/>
          <w:szCs w:val="22"/>
        </w:rPr>
        <w:t xml:space="preserve"> Student retention and transfer student committees</w:t>
      </w:r>
    </w:p>
    <w:p w14:paraId="285305C1" w14:textId="77777777" w:rsidR="00C8289C" w:rsidRDefault="00C8289C" w:rsidP="00C8289C">
      <w:pPr>
        <w:spacing w:after="40" w:line="280" w:lineRule="exact"/>
        <w:ind w:left="258"/>
        <w:rPr>
          <w:color w:val="auto"/>
          <w:kern w:val="0"/>
          <w:sz w:val="24"/>
          <w:szCs w:val="24"/>
        </w:rPr>
      </w:pPr>
      <w:r>
        <w:rPr>
          <w:rFonts w:ascii="Wingdings" w:hAnsi="Wingdings" w:cs="Wingdings"/>
          <w:noProof/>
          <w:color w:val="auto"/>
          <w:sz w:val="22"/>
          <w:szCs w:val="22"/>
        </w:rPr>
        <w:t></w:t>
      </w:r>
      <w:r>
        <w:rPr>
          <w:rFonts w:ascii="Times New Roman" w:hAnsi="Times New Roman" w:cs="Times New Roman"/>
          <w:color w:val="auto"/>
          <w:sz w:val="22"/>
          <w:szCs w:val="22"/>
        </w:rPr>
        <w:t xml:space="preserve"> Internal and external media </w:t>
      </w:r>
    </w:p>
    <w:p w14:paraId="14107C6E" w14:textId="77777777" w:rsidR="00C8427E" w:rsidRPr="00BE64D5" w:rsidRDefault="00C8427E" w:rsidP="00BE64D5">
      <w:pPr>
        <w:spacing w:after="0" w:line="240" w:lineRule="auto"/>
        <w:rPr>
          <w:rFonts w:ascii="Times New Roman" w:hAnsi="Times New Roman" w:cs="Times New Roman"/>
          <w:color w:val="auto"/>
          <w:kern w:val="0"/>
          <w:sz w:val="22"/>
          <w:szCs w:val="22"/>
        </w:rPr>
      </w:pPr>
    </w:p>
    <w:sectPr w:rsidR="00C8427E" w:rsidRPr="00BE64D5" w:rsidSect="00C842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C0"/>
    <w:rsid w:val="00325387"/>
    <w:rsid w:val="0049728B"/>
    <w:rsid w:val="00693941"/>
    <w:rsid w:val="006C2862"/>
    <w:rsid w:val="006E6D61"/>
    <w:rsid w:val="00813CFA"/>
    <w:rsid w:val="009F4DF8"/>
    <w:rsid w:val="00B77834"/>
    <w:rsid w:val="00BE56C0"/>
    <w:rsid w:val="00BE64D5"/>
    <w:rsid w:val="00C30C7D"/>
    <w:rsid w:val="00C50691"/>
    <w:rsid w:val="00C8289C"/>
    <w:rsid w:val="00C8427E"/>
    <w:rsid w:val="00D130E8"/>
    <w:rsid w:val="00D31BC0"/>
    <w:rsid w:val="00E13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1C3D3"/>
  <w15:chartTrackingRefBased/>
  <w15:docId w15:val="{59C4988B-CAF2-402F-85AA-217EE5D6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6C0"/>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SSEHeading1">
    <w:name w:val="NSSE Heading 1"/>
    <w:basedOn w:val="Normal"/>
    <w:link w:val="NSSEHeading1Char"/>
    <w:qFormat/>
    <w:rsid w:val="00C30C7D"/>
    <w:pPr>
      <w:tabs>
        <w:tab w:val="right" w:pos="10800"/>
      </w:tabs>
      <w:spacing w:after="0" w:line="240" w:lineRule="auto"/>
      <w:jc w:val="right"/>
    </w:pPr>
    <w:rPr>
      <w:b/>
      <w:bCs/>
      <w:color w:val="002D62" w:themeColor="background2"/>
      <w:sz w:val="36"/>
      <w:szCs w:val="36"/>
    </w:rPr>
  </w:style>
  <w:style w:type="paragraph" w:customStyle="1" w:styleId="NSSEHeading2">
    <w:name w:val="NSSE Heading 2"/>
    <w:basedOn w:val="Normal"/>
    <w:link w:val="NSSEHeading2Char"/>
    <w:qFormat/>
    <w:rsid w:val="00C30C7D"/>
    <w:pPr>
      <w:tabs>
        <w:tab w:val="right" w:pos="10800"/>
      </w:tabs>
      <w:spacing w:before="80" w:after="0"/>
      <w:jc w:val="right"/>
    </w:pPr>
    <w:rPr>
      <w:b/>
      <w:bCs/>
      <w:color w:val="7A1A57" w:themeColor="text2"/>
      <w:sz w:val="48"/>
      <w:szCs w:val="48"/>
    </w:rPr>
  </w:style>
  <w:style w:type="character" w:customStyle="1" w:styleId="NSSEHeading1Char">
    <w:name w:val="NSSE Heading 1 Char"/>
    <w:basedOn w:val="DefaultParagraphFont"/>
    <w:link w:val="NSSEHeading1"/>
    <w:rsid w:val="00C30C7D"/>
    <w:rPr>
      <w:rFonts w:ascii="Calibri" w:eastAsia="Times New Roman" w:hAnsi="Calibri" w:cs="Calibri"/>
      <w:b/>
      <w:bCs/>
      <w:color w:val="002D62" w:themeColor="background2"/>
      <w:kern w:val="28"/>
      <w:sz w:val="36"/>
      <w:szCs w:val="36"/>
      <w14:ligatures w14:val="standard"/>
      <w14:cntxtAlts/>
    </w:rPr>
  </w:style>
  <w:style w:type="paragraph" w:customStyle="1" w:styleId="NSSEHeading3">
    <w:name w:val="NSSE Heading 3"/>
    <w:basedOn w:val="Normal"/>
    <w:link w:val="NSSEHeading3Char"/>
    <w:qFormat/>
    <w:rsid w:val="00C50691"/>
    <w:pPr>
      <w:widowControl w:val="0"/>
      <w:spacing w:after="0"/>
      <w:jc w:val="right"/>
    </w:pPr>
    <w:rPr>
      <w:b/>
      <w:bCs/>
      <w:color w:val="002F5F"/>
      <w:sz w:val="28"/>
      <w:szCs w:val="28"/>
      <w14:ligatures w14:val="none"/>
    </w:rPr>
  </w:style>
  <w:style w:type="character" w:customStyle="1" w:styleId="NSSEHeading2Char">
    <w:name w:val="NSSE Heading 2 Char"/>
    <w:basedOn w:val="DefaultParagraphFont"/>
    <w:link w:val="NSSEHeading2"/>
    <w:rsid w:val="00C30C7D"/>
    <w:rPr>
      <w:rFonts w:ascii="Calibri" w:eastAsia="Times New Roman" w:hAnsi="Calibri" w:cs="Calibri"/>
      <w:b/>
      <w:bCs/>
      <w:color w:val="7A1A57" w:themeColor="text2"/>
      <w:kern w:val="28"/>
      <w:sz w:val="48"/>
      <w:szCs w:val="48"/>
      <w14:ligatures w14:val="standard"/>
      <w14:cntxtAlts/>
    </w:rPr>
  </w:style>
  <w:style w:type="character" w:customStyle="1" w:styleId="NSSEHeading3Char">
    <w:name w:val="NSSE Heading 3 Char"/>
    <w:basedOn w:val="DefaultParagraphFont"/>
    <w:link w:val="NSSEHeading3"/>
    <w:rsid w:val="00C50691"/>
    <w:rPr>
      <w:rFonts w:ascii="Calibri" w:eastAsia="Times New Roman" w:hAnsi="Calibri" w:cs="Calibri"/>
      <w:b/>
      <w:bCs/>
      <w:color w:val="000000"/>
      <w:kern w:val="28"/>
      <w:sz w:val="28"/>
      <w:szCs w:val="28"/>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850500">
      <w:bodyDiv w:val="1"/>
      <w:marLeft w:val="0"/>
      <w:marRight w:val="0"/>
      <w:marTop w:val="0"/>
      <w:marBottom w:val="0"/>
      <w:divBdr>
        <w:top w:val="none" w:sz="0" w:space="0" w:color="auto"/>
        <w:left w:val="none" w:sz="0" w:space="0" w:color="auto"/>
        <w:bottom w:val="none" w:sz="0" w:space="0" w:color="auto"/>
        <w:right w:val="none" w:sz="0" w:space="0" w:color="auto"/>
      </w:divBdr>
    </w:div>
    <w:div w:id="1162158318">
      <w:bodyDiv w:val="1"/>
      <w:marLeft w:val="0"/>
      <w:marRight w:val="0"/>
      <w:marTop w:val="0"/>
      <w:marBottom w:val="0"/>
      <w:divBdr>
        <w:top w:val="none" w:sz="0" w:space="0" w:color="auto"/>
        <w:left w:val="none" w:sz="0" w:space="0" w:color="auto"/>
        <w:bottom w:val="none" w:sz="0" w:space="0" w:color="auto"/>
        <w:right w:val="none" w:sz="0" w:space="0" w:color="auto"/>
      </w:divBdr>
    </w:div>
    <w:div w:id="1375731791">
      <w:bodyDiv w:val="1"/>
      <w:marLeft w:val="0"/>
      <w:marRight w:val="0"/>
      <w:marTop w:val="0"/>
      <w:marBottom w:val="0"/>
      <w:divBdr>
        <w:top w:val="none" w:sz="0" w:space="0" w:color="auto"/>
        <w:left w:val="none" w:sz="0" w:space="0" w:color="auto"/>
        <w:bottom w:val="none" w:sz="0" w:space="0" w:color="auto"/>
        <w:right w:val="none" w:sz="0" w:space="0" w:color="auto"/>
      </w:divBdr>
    </w:div>
    <w:div w:id="1432625499">
      <w:bodyDiv w:val="1"/>
      <w:marLeft w:val="0"/>
      <w:marRight w:val="0"/>
      <w:marTop w:val="0"/>
      <w:marBottom w:val="0"/>
      <w:divBdr>
        <w:top w:val="none" w:sz="0" w:space="0" w:color="auto"/>
        <w:left w:val="none" w:sz="0" w:space="0" w:color="auto"/>
        <w:bottom w:val="none" w:sz="0" w:space="0" w:color="auto"/>
        <w:right w:val="none" w:sz="0" w:space="0" w:color="auto"/>
      </w:divBdr>
    </w:div>
    <w:div w:id="1488477062">
      <w:bodyDiv w:val="1"/>
      <w:marLeft w:val="0"/>
      <w:marRight w:val="0"/>
      <w:marTop w:val="0"/>
      <w:marBottom w:val="0"/>
      <w:divBdr>
        <w:top w:val="none" w:sz="0" w:space="0" w:color="auto"/>
        <w:left w:val="none" w:sz="0" w:space="0" w:color="auto"/>
        <w:bottom w:val="none" w:sz="0" w:space="0" w:color="auto"/>
        <w:right w:val="none" w:sz="0" w:space="0" w:color="auto"/>
      </w:divBdr>
    </w:div>
    <w:div w:id="1602451983">
      <w:bodyDiv w:val="1"/>
      <w:marLeft w:val="0"/>
      <w:marRight w:val="0"/>
      <w:marTop w:val="0"/>
      <w:marBottom w:val="0"/>
      <w:divBdr>
        <w:top w:val="none" w:sz="0" w:space="0" w:color="auto"/>
        <w:left w:val="none" w:sz="0" w:space="0" w:color="auto"/>
        <w:bottom w:val="none" w:sz="0" w:space="0" w:color="auto"/>
        <w:right w:val="none" w:sz="0" w:space="0" w:color="auto"/>
      </w:divBdr>
    </w:div>
    <w:div w:id="185587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NSS">
  <a:themeElements>
    <a:clrScheme name="NSSE">
      <a:dk1>
        <a:sysClr val="windowText" lastClr="000000"/>
      </a:dk1>
      <a:lt1>
        <a:sysClr val="window" lastClr="FFFFFF"/>
      </a:lt1>
      <a:dk2>
        <a:srgbClr val="7A1A57"/>
      </a:dk2>
      <a:lt2>
        <a:srgbClr val="002D62"/>
      </a:lt2>
      <a:accent1>
        <a:srgbClr val="EFAA22"/>
      </a:accent1>
      <a:accent2>
        <a:srgbClr val="417FDD"/>
      </a:accent2>
      <a:accent3>
        <a:srgbClr val="645950"/>
      </a:accent3>
      <a:accent4>
        <a:srgbClr val="CCCCCC"/>
      </a:accent4>
      <a:accent5>
        <a:srgbClr val="855723"/>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310</Words>
  <Characters>1636</Characters>
  <Application>Microsoft Office Word</Application>
  <DocSecurity>0</DocSecurity>
  <Lines>74</Lines>
  <Paragraphs>24</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Simon</dc:creator>
  <cp:keywords/>
  <dc:description/>
  <cp:lastModifiedBy>Gonyea, Robert Michael</cp:lastModifiedBy>
  <cp:revision>11</cp:revision>
  <dcterms:created xsi:type="dcterms:W3CDTF">2020-06-10T16:12:00Z</dcterms:created>
  <dcterms:modified xsi:type="dcterms:W3CDTF">2020-06-29T00:54:00Z</dcterms:modified>
</cp:coreProperties>
</file>